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2" w:rsidRPr="00197322" w:rsidRDefault="00197322" w:rsidP="00D371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bdr w:val="none" w:sz="0" w:space="0" w:color="auto" w:frame="1"/>
          <w:lang w:eastAsia="ru-RU"/>
        </w:rPr>
      </w:pPr>
      <w:r w:rsidRPr="00197322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bdr w:val="none" w:sz="0" w:space="0" w:color="auto" w:frame="1"/>
          <w:lang w:eastAsia="ru-RU"/>
        </w:rPr>
        <w:t>Латышева Ирина Александровна</w:t>
      </w:r>
    </w:p>
    <w:p w:rsidR="00D371BB" w:rsidRPr="00197322" w:rsidRDefault="00D371BB" w:rsidP="00D371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</w:pPr>
      <w:r w:rsidRPr="0019732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«Особенности работы </w:t>
      </w:r>
      <w:r w:rsidR="00197322" w:rsidRPr="0019732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инструктора по физической культуре </w:t>
      </w:r>
      <w:r w:rsidRPr="0019732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с </w:t>
      </w:r>
      <w:proofErr w:type="spellStart"/>
      <w:r w:rsidRPr="0019732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  <w:t>гиперактивными</w:t>
      </w:r>
      <w:proofErr w:type="spellEnd"/>
      <w:r w:rsidRPr="0019732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детьми»</w:t>
      </w:r>
    </w:p>
    <w:p w:rsidR="00197322" w:rsidRPr="00197322" w:rsidRDefault="00197322" w:rsidP="00D3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D371BB" w:rsidRPr="00197322" w:rsidRDefault="00D371BB" w:rsidP="001973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Термин «</w:t>
      </w:r>
      <w:proofErr w:type="spellStart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гиперактивность</w:t>
      </w:r>
      <w:proofErr w:type="spellEnd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 до сих пор не име</w:t>
      </w:r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softHyphen/>
        <w:t>ет однозначного толкования. Однако многие специалисты к внешним прояв</w:t>
      </w:r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softHyphen/>
        <w:t xml:space="preserve">лениям </w:t>
      </w:r>
      <w:proofErr w:type="spellStart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гиперактивости</w:t>
      </w:r>
      <w:proofErr w:type="spellEnd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относят невнимательность, импульсивность, повы</w:t>
      </w:r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softHyphen/>
        <w:t>шенную двигательную активность</w:t>
      </w:r>
      <w:proofErr w:type="gramStart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.«</w:t>
      </w:r>
      <w:proofErr w:type="spellStart"/>
      <w:proofErr w:type="gramEnd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Гиперактивность</w:t>
      </w:r>
      <w:proofErr w:type="spellEnd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 у детей проявляется несвойственными для нормаль</w:t>
      </w:r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softHyphen/>
        <w:t>ного, соответствующего возрасту, невнимательностью, отвлекаемостью, импульсивностью ».</w:t>
      </w:r>
    </w:p>
    <w:p w:rsidR="00D371BB" w:rsidRPr="00197322" w:rsidRDefault="00D371BB" w:rsidP="001973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Первые проявления </w:t>
      </w:r>
      <w:proofErr w:type="spellStart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гиперактивности</w:t>
      </w:r>
      <w:proofErr w:type="spellEnd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можно наблюдать в возрасте до 7 лет. Пики проявления данного синдрома совпадают с пиками </w:t>
      </w:r>
      <w:proofErr w:type="spellStart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психоречевого</w:t>
      </w:r>
      <w:proofErr w:type="spellEnd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развития. В 1-2 года, 3 года и 6-7 лет. В 1-2 года закладываются навыки речи, в 3 года у ребенка увеличивается словарный запас, в 6-7 лет формируются навыки чтения и письма. И если к подростковому возрасту повышенная двигательная активность, как </w:t>
      </w:r>
      <w:proofErr w:type="gramStart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правило</w:t>
      </w:r>
      <w:proofErr w:type="gramEnd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исчезает, то импульсивность и дефицит внимания остаются. Поведенческие нарушения сохраняются почти у 70% подростков и 50% взрослых, имевших в детстве диагноз синдрома </w:t>
      </w:r>
      <w:proofErr w:type="spellStart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гиперактивность</w:t>
      </w:r>
      <w:proofErr w:type="spellEnd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9632B5" w:rsidRPr="00197322" w:rsidRDefault="009632B5" w:rsidP="001973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9732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Основными причинами</w:t>
      </w:r>
      <w:r w:rsidRPr="001973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возникновения </w:t>
      </w:r>
      <w:proofErr w:type="spellStart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гиперактивности</w:t>
      </w:r>
      <w:proofErr w:type="spellEnd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 детей, п</w:t>
      </w:r>
      <w:r w:rsid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режде всего, являются патология </w:t>
      </w:r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родов, инфекционные заболевания, перенесенные ребенком в первые месяцы жизни, генетические факторы, особенности строения и функционирования головного мозга, стиль воспитания в семье и т. д.</w:t>
      </w:r>
    </w:p>
    <w:p w:rsidR="009632B5" w:rsidRPr="00197322" w:rsidRDefault="009632B5" w:rsidP="001973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основе синдрома </w:t>
      </w:r>
      <w:proofErr w:type="spellStart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гиперактивности</w:t>
      </w:r>
      <w:proofErr w:type="spellEnd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лежит минимальная мозговая дисфункция, наличие которой определяет врач-невропатолог после проведения специальной диагностики. При необходимости назначается медикаментозное лечение.</w:t>
      </w:r>
    </w:p>
    <w:p w:rsidR="009632B5" w:rsidRPr="00197322" w:rsidRDefault="009632B5" w:rsidP="001973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9732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Опасность СДВГ</w:t>
      </w:r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заключается в том, что в подростковом возрасте он может развиться в асоциальное поведение. Работая с </w:t>
      </w:r>
      <w:proofErr w:type="spellStart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гиперактивными</w:t>
      </w:r>
      <w:proofErr w:type="spellEnd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детьми, каждый раз необходимо анализировать конкретную ситуацию, характерную для данного случая.</w:t>
      </w:r>
    </w:p>
    <w:p w:rsidR="009632B5" w:rsidRPr="00197322" w:rsidRDefault="009632B5" w:rsidP="001973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Добиться того, чтобы </w:t>
      </w:r>
      <w:proofErr w:type="spellStart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гиперактивный</w:t>
      </w:r>
      <w:proofErr w:type="spellEnd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ребенок стал послушным и покладистым, еще не удавалось никому, а научиться жить в мире и сотрудничать с ним – вполне посильная задача.</w:t>
      </w:r>
    </w:p>
    <w:p w:rsidR="009632B5" w:rsidRPr="00197322" w:rsidRDefault="00C66404" w:rsidP="001973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19732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     </w:t>
      </w:r>
      <w:r w:rsidR="009632B5" w:rsidRPr="0019732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В общении с </w:t>
      </w:r>
      <w:proofErr w:type="spellStart"/>
      <w:r w:rsidR="009632B5" w:rsidRPr="0019732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гиперактивным</w:t>
      </w:r>
      <w:proofErr w:type="spellEnd"/>
      <w:r w:rsidR="009632B5" w:rsidRPr="0019732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ребенком взрослым необходимо помнить следующее:</w:t>
      </w:r>
    </w:p>
    <w:p w:rsidR="009632B5" w:rsidRPr="00197322" w:rsidRDefault="009632B5" w:rsidP="001973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Чем более драматичен, экспрессивен, театрален педагог, тем легче он справляется с проблемами </w:t>
      </w:r>
      <w:proofErr w:type="spellStart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гиперактивного</w:t>
      </w:r>
      <w:proofErr w:type="spellEnd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ребенка, которого влечет все неожиданное, новое. Необычность поведения педагога меняет психологический настрой ребенка, помогает переключить его внимание на нужный предмет.</w:t>
      </w:r>
    </w:p>
    <w:p w:rsidR="009632B5" w:rsidRPr="00197322" w:rsidRDefault="00C66404" w:rsidP="001973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</w:t>
      </w:r>
      <w:r w:rsidR="009632B5"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Стараться не «замечать» мелкие шалости, сдерживать раздражение и не кричать на ребенка, так как от шума возбуждение усиливается. С </w:t>
      </w:r>
      <w:proofErr w:type="spellStart"/>
      <w:r w:rsidR="009632B5"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гиперактивным</w:t>
      </w:r>
      <w:proofErr w:type="spellEnd"/>
      <w:r w:rsidR="009632B5"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ребенком необходимо общаться мягко, спокойно. Желательно, чтобы не было восторженных интонаций, эмоционального приподнятого тона. Так как ребенок очень чувствителен и восприимчив, быстро присоединится к такому настроению. Эмоции захлестнут ребенка и станут препятствием для </w:t>
      </w:r>
      <w:proofErr w:type="gramStart"/>
      <w:r w:rsidR="009632B5"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дальнейших</w:t>
      </w:r>
      <w:proofErr w:type="gramEnd"/>
      <w:r w:rsidR="009632B5"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успешных </w:t>
      </w:r>
      <w:proofErr w:type="spellStart"/>
      <w:r w:rsidR="009632B5"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действийение</w:t>
      </w:r>
      <w:proofErr w:type="spellEnd"/>
      <w:r w:rsidR="009632B5"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C66404" w:rsidRPr="00197322" w:rsidRDefault="00C66404" w:rsidP="001973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9732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Тренировка внимания</w:t>
      </w:r>
      <w:r w:rsidRPr="001973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 </w:t>
      </w:r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Поскольку для </w:t>
      </w:r>
      <w:proofErr w:type="spellStart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гиперактивных</w:t>
      </w:r>
      <w:proofErr w:type="spellEnd"/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детей характерны также нарушения внимания и самоконтроля, важно с ними проводить простые игры на развитие данных функций.</w:t>
      </w:r>
    </w:p>
    <w:p w:rsidR="00C66404" w:rsidRPr="00197322" w:rsidRDefault="00C66404" w:rsidP="001973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9732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В этом хорошо помогают игры с правилами. Причём, игры и правила к ним придумываем сами, когда педагог, но чаще – ребёнок. Например: отбить о землю мяч, поймать его, хлопнуть в ладоши, поймать, снова отбить и т. д. Побеждает тот, кто не собьётся с ритма.</w:t>
      </w:r>
    </w:p>
    <w:p w:rsidR="00C66404" w:rsidRPr="00197322" w:rsidRDefault="00C66404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bdr w:val="none" w:sz="0" w:space="0" w:color="auto" w:frame="1"/>
        </w:rPr>
      </w:pPr>
      <w:proofErr w:type="gramStart"/>
      <w:r w:rsidRPr="00197322">
        <w:rPr>
          <w:color w:val="000000"/>
          <w:sz w:val="26"/>
          <w:szCs w:val="26"/>
          <w:bdr w:val="none" w:sz="0" w:space="0" w:color="auto" w:frame="1"/>
        </w:rPr>
        <w:t>Хорошо также тренируют внимание такие игры, например «Назови всё деревянное», «Назови всё зелёное», «Найди признаки осени (зимы, весны, лета), «Море волнуется», «День и ночь», «Что изменилось», «Лабиринты», «Чем похожи, чем отличаются», «Найди лишнее», «Зоркий глаз», «Внимание, фотографируем» (произносятся слова:</w:t>
      </w:r>
      <w:proofErr w:type="gramEnd"/>
      <w:r w:rsidRPr="00197322">
        <w:rPr>
          <w:color w:val="000000"/>
          <w:sz w:val="26"/>
          <w:szCs w:val="26"/>
          <w:bdr w:val="none" w:sz="0" w:space="0" w:color="auto" w:frame="1"/>
        </w:rPr>
        <w:t xml:space="preserve"> «Внимание, фотографируем» и ребёнку показывается сюжетная картинка. Ребёнок её 3-5 секунд рассматривает. Картинка убирается. Ребёнок должен запомнить как на картинке.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  <w:u w:val="single"/>
        </w:rPr>
      </w:pPr>
      <w:r w:rsidRPr="00197322">
        <w:rPr>
          <w:b/>
          <w:bCs/>
          <w:i/>
          <w:iCs/>
          <w:color w:val="000000"/>
          <w:sz w:val="26"/>
          <w:szCs w:val="26"/>
          <w:u w:val="single"/>
        </w:rPr>
        <w:t xml:space="preserve">Игры для детей с синдромом дефицита внимания и </w:t>
      </w:r>
      <w:proofErr w:type="spellStart"/>
      <w:r w:rsidRPr="00197322">
        <w:rPr>
          <w:b/>
          <w:bCs/>
          <w:i/>
          <w:iCs/>
          <w:color w:val="000000"/>
          <w:sz w:val="26"/>
          <w:szCs w:val="26"/>
          <w:u w:val="single"/>
        </w:rPr>
        <w:t>гиперактивностью</w:t>
      </w:r>
      <w:proofErr w:type="spellEnd"/>
    </w:p>
    <w:p w:rsidR="00394536" w:rsidRPr="00197322" w:rsidRDefault="00394536" w:rsidP="00197322">
      <w:pPr>
        <w:pStyle w:val="a3"/>
        <w:spacing w:before="0" w:beforeAutospacing="0" w:after="0" w:afterAutospacing="0" w:line="276" w:lineRule="atLeast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Одним из наиболее эффективных психотерапевтических сре</w:t>
      </w:r>
      <w:proofErr w:type="gramStart"/>
      <w:r w:rsidRPr="00197322">
        <w:rPr>
          <w:color w:val="000000"/>
          <w:sz w:val="26"/>
          <w:szCs w:val="26"/>
        </w:rPr>
        <w:t>дств в р</w:t>
      </w:r>
      <w:proofErr w:type="gramEnd"/>
      <w:r w:rsidRPr="00197322">
        <w:rPr>
          <w:color w:val="000000"/>
          <w:sz w:val="26"/>
          <w:szCs w:val="26"/>
        </w:rPr>
        <w:t xml:space="preserve">аботе с детьми с синдромом дефицита внимания и </w:t>
      </w:r>
      <w:proofErr w:type="spellStart"/>
      <w:r w:rsidRPr="00197322">
        <w:rPr>
          <w:color w:val="000000"/>
          <w:sz w:val="26"/>
          <w:szCs w:val="26"/>
        </w:rPr>
        <w:t>гиперактивностью</w:t>
      </w:r>
      <w:proofErr w:type="spellEnd"/>
      <w:r w:rsidRPr="00197322">
        <w:rPr>
          <w:color w:val="000000"/>
          <w:sz w:val="26"/>
          <w:szCs w:val="26"/>
        </w:rPr>
        <w:t xml:space="preserve"> является игровая терапия. Игровая терапия имеет широкие возможности и при оказании помощи </w:t>
      </w:r>
      <w:proofErr w:type="spellStart"/>
      <w:r w:rsidRPr="00197322">
        <w:rPr>
          <w:color w:val="000000"/>
          <w:sz w:val="26"/>
          <w:szCs w:val="26"/>
        </w:rPr>
        <w:t>гиперактивным</w:t>
      </w:r>
      <w:proofErr w:type="spellEnd"/>
      <w:r w:rsidRPr="00197322">
        <w:rPr>
          <w:color w:val="000000"/>
          <w:sz w:val="26"/>
          <w:szCs w:val="26"/>
        </w:rPr>
        <w:t xml:space="preserve"> детям, существенно сглаживая их двигательное беспокойство и суетливость позволяя контролировать их действия и поступки с помощью определенного игрового сюжета и связанных с ним правил и ролей. Особенно полезны в этом плане коллективные игры ритмичного характера, </w:t>
      </w:r>
      <w:proofErr w:type="spellStart"/>
      <w:r w:rsidRPr="00197322">
        <w:rPr>
          <w:color w:val="000000"/>
          <w:sz w:val="26"/>
          <w:szCs w:val="26"/>
        </w:rPr>
        <w:t>проводящиеся</w:t>
      </w:r>
      <w:proofErr w:type="spellEnd"/>
      <w:r w:rsidRPr="00197322">
        <w:rPr>
          <w:color w:val="000000"/>
          <w:sz w:val="26"/>
          <w:szCs w:val="26"/>
        </w:rPr>
        <w:t xml:space="preserve"> под руководством взрослого.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 xml:space="preserve">Специалисты считают, что игры с песком и водой просто необходимы для </w:t>
      </w:r>
      <w:proofErr w:type="spellStart"/>
      <w:r w:rsidRPr="00197322">
        <w:rPr>
          <w:color w:val="000000"/>
          <w:sz w:val="26"/>
          <w:szCs w:val="26"/>
        </w:rPr>
        <w:t>гиперактивных</w:t>
      </w:r>
      <w:proofErr w:type="spellEnd"/>
      <w:r w:rsidRPr="00197322">
        <w:rPr>
          <w:color w:val="000000"/>
          <w:sz w:val="26"/>
          <w:szCs w:val="26"/>
        </w:rPr>
        <w:t xml:space="preserve"> детей. Такие игры успокаивают ребёнка.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«</w:t>
      </w:r>
      <w:r w:rsidRPr="00197322">
        <w:rPr>
          <w:b/>
          <w:color w:val="000000"/>
          <w:sz w:val="26"/>
          <w:szCs w:val="26"/>
        </w:rPr>
        <w:t>Археология»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Цель: развитие мышечного контроля.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 xml:space="preserve">Содержание: Взрослый опускает кисть руки в таз с песком или крупой и засыпает её. Ребёнок осторожно «откапывает» руку – делает археологические раскопки. При этом нельзя дотрагиваться до кистей руки. Как только ребёнок коснётся своей ладони, он тут же меняется ролями </w:t>
      </w:r>
      <w:proofErr w:type="gramStart"/>
      <w:r w:rsidRPr="00197322">
        <w:rPr>
          <w:color w:val="000000"/>
          <w:sz w:val="26"/>
          <w:szCs w:val="26"/>
        </w:rPr>
        <w:t>со</w:t>
      </w:r>
      <w:proofErr w:type="gramEnd"/>
      <w:r w:rsidRPr="00197322">
        <w:rPr>
          <w:color w:val="000000"/>
          <w:sz w:val="26"/>
          <w:szCs w:val="26"/>
        </w:rPr>
        <w:t xml:space="preserve"> взрослым.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97322">
        <w:rPr>
          <w:b/>
          <w:i/>
          <w:iCs/>
          <w:color w:val="000000"/>
          <w:sz w:val="26"/>
          <w:szCs w:val="26"/>
        </w:rPr>
        <w:t>«Послушай тишину»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 xml:space="preserve">Цель: развивать внимание </w:t>
      </w:r>
      <w:proofErr w:type="spellStart"/>
      <w:r w:rsidRPr="00197322">
        <w:rPr>
          <w:color w:val="000000"/>
          <w:sz w:val="26"/>
          <w:szCs w:val="26"/>
        </w:rPr>
        <w:t>гиперактивного</w:t>
      </w:r>
      <w:proofErr w:type="spellEnd"/>
      <w:r w:rsidRPr="00197322">
        <w:rPr>
          <w:color w:val="000000"/>
          <w:sz w:val="26"/>
          <w:szCs w:val="26"/>
        </w:rPr>
        <w:t xml:space="preserve"> ребёнка и умение владеть собой.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Содержание: По первому сигналу колокольчика дети начинают бегать по комнате, кричать, стучать и т. д. По второму сигналу они должны быстро сесть на стулья и прислушаться к тому, что происходит кругом. Затем дети по кругу рассказывают, какие звуки они услышали.</w:t>
      </w:r>
    </w:p>
    <w:p w:rsidR="00197322" w:rsidRDefault="00394536" w:rsidP="00197322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97322">
        <w:rPr>
          <w:b/>
          <w:i/>
          <w:iCs/>
          <w:color w:val="000000"/>
          <w:sz w:val="26"/>
          <w:szCs w:val="26"/>
        </w:rPr>
        <w:t>«Колпак мой треугольный»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Цель: игра помогает научиться концентрировать внимание, способствует осознанию ребёнком своего тела, учит управлять движениями и контролировать своё поведение.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197322">
        <w:rPr>
          <w:color w:val="000000"/>
          <w:sz w:val="26"/>
          <w:szCs w:val="26"/>
        </w:rPr>
        <w:t>Играющие</w:t>
      </w:r>
      <w:proofErr w:type="gramEnd"/>
      <w:r w:rsidRPr="00197322">
        <w:rPr>
          <w:color w:val="000000"/>
          <w:sz w:val="26"/>
          <w:szCs w:val="26"/>
        </w:rPr>
        <w:t xml:space="preserve"> сидят в кругу. Все по очереди, начиная с ведущего, произносят по одному слову из фразы: «Колпак мой треугольный, треугольный мой колпак». Во 2 кругу фраза повторяется снова, но дети, которым выпадает говорить слово «колпак» заменяют его жестом (например, 2 лёгких хлопка ладошкой по своей голове). В следующий раз уже заменяются 2 слова: слово «колпак» и слово «мой» (показать рукой на себя). В каждом последующем кругу играющие произносят на одно слово меньше, а «показывают» на одно больше. В завершающем кругу дети изображают только жестами всю фразу.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97322">
        <w:rPr>
          <w:b/>
          <w:i/>
          <w:iCs/>
          <w:color w:val="000000"/>
          <w:sz w:val="26"/>
          <w:szCs w:val="26"/>
        </w:rPr>
        <w:t>«Морские волны»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lastRenderedPageBreak/>
        <w:t>Цель: научить детей переключать внимание с одного вида деятельности на другой, способствовать снижению мышечного напряжения.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Если взрослый даёт команду «Штиль! Все дети в классе «замирают». Когда раздаётся команда «Волны», дети по очереди встают за своими партами. Сначала встают те дети, которые сидят за первыми партами.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Через 2-3 сек. поднимаются сидящие за вторыми и т. д. Как только очередь доходит до обитателей последних парт, они встают и все вместе хлопают в ладоши, после чего дети</w:t>
      </w:r>
      <w:proofErr w:type="gramStart"/>
      <w:r w:rsidRPr="00197322">
        <w:rPr>
          <w:color w:val="000000"/>
          <w:sz w:val="26"/>
          <w:szCs w:val="26"/>
        </w:rPr>
        <w:t xml:space="preserve"> ,</w:t>
      </w:r>
      <w:proofErr w:type="gramEnd"/>
      <w:r w:rsidRPr="00197322">
        <w:rPr>
          <w:color w:val="000000"/>
          <w:sz w:val="26"/>
          <w:szCs w:val="26"/>
        </w:rPr>
        <w:t xml:space="preserve"> вставшие первыми садятся и т. д. Закончить игру надо командой «Штиль!».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97322">
        <w:rPr>
          <w:b/>
          <w:i/>
          <w:iCs/>
          <w:color w:val="000000"/>
          <w:sz w:val="26"/>
          <w:szCs w:val="26"/>
        </w:rPr>
        <w:t>Игра «Черепаха».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Цель: научиться контролировать свои движения.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Тренер встаёт у стены помещения, остальные участники располагаются вдоль противоположной стены. По сигналу ведущего они начинают движение. Далее тренер говорит: «Представьте себе, что все мы – черепахи.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Я – большая черепаха, а вы – маленькие черепашки. Я пригласила вас в гости на день рождения. Я жду вас в гости. Но вот беда: праздничный торт ещё не готов. По моей команде вы можете идти ко мне, нигде не останавливаясь. Помните: вы – черепашки и должны идти как можно медленнее, чтобы дойти только в тот момент, когда торт будет уже готов». Тренер следит, чтобы никто не останавливался и не спешил. Через 2-3 мин. он даёт новый сигнал, по которому все «замирают». Побеждает тот, кто оказался дальше всех от черепахи – именинницы.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Тренер просит участников закрыть глаза, после чего тихим спокойным голосом произносит текст: «Положите, пожалуйста, руки на колени, соединив ладони вместе. Представьте, что вы держите в руках маленького пушистого зверька. Это может быть котёнок, щенок, птичка и т. д. Он такой крохотный, что свободно помещается у вас в ладонях. Он засыпает, поэтому вы стараетесь сидеть без движений, чтобы не разбудить его. Если кому-то очень хочется погладить своего зверька, сделайте это осторожно, лёгким движением больших пальцев рук. Мысленно успокойте зверька, скажите ему что-нибудь ласковое, улыбнитесь ему.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Почувствуйте, как его становится более ровным, медленным, спокойным, и вы тоже дышите в такт с ним. Осторожно переложите зверька на тёплое одеяло, которое находится рядом с вами (на соседнем стуле), убедитесь, что зверёк в полной безопасности, улыбнитесь ему ещё раз.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b/>
          <w:i/>
          <w:iCs/>
          <w:color w:val="000000"/>
          <w:sz w:val="26"/>
          <w:szCs w:val="26"/>
        </w:rPr>
        <w:t>Игра «Ласковые лапки</w:t>
      </w:r>
      <w:r w:rsidRPr="00197322">
        <w:rPr>
          <w:i/>
          <w:iCs/>
          <w:color w:val="000000"/>
          <w:sz w:val="26"/>
          <w:szCs w:val="26"/>
        </w:rPr>
        <w:t>»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Эта игра снимает напряжение, снижает агрессивность, развивает чувственное восприятие, способствует гармонизации отношений между ребенком и взрослым.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Содержание игры Взрослый кладет на стол 6–7 мелких предметов различной фактуры: кусочек меха, кисточку, стеклянный флакон, бусы, вату. Ребенку предлагается оголить руку по локоть. Воспитатель объясняет ему, что по руке будет ходить «зверек» и касаться ласковыми лапками. Надо с закрытыми глазами угадать, какой «зверек» прикасался к руке, — отгадать предмет. Прикосновения должны быть поглаживающими, приятными.</w:t>
      </w:r>
    </w:p>
    <w:p w:rsidR="00394536" w:rsidRPr="00197322" w:rsidRDefault="00394536" w:rsidP="00197322">
      <w:pPr>
        <w:pStyle w:val="a3"/>
        <w:spacing w:before="0" w:before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Вариант игры: «зверек» прикасается к щеке, колену, ладони. Можно поменяться с ребенком ролями.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97322">
        <w:rPr>
          <w:b/>
          <w:i/>
          <w:iCs/>
          <w:color w:val="000000"/>
          <w:sz w:val="26"/>
          <w:szCs w:val="26"/>
        </w:rPr>
        <w:t>Игра «</w:t>
      </w:r>
      <w:proofErr w:type="spellStart"/>
      <w:r w:rsidRPr="00197322">
        <w:rPr>
          <w:b/>
          <w:i/>
          <w:iCs/>
          <w:color w:val="000000"/>
          <w:sz w:val="26"/>
          <w:szCs w:val="26"/>
        </w:rPr>
        <w:t>Кричалки</w:t>
      </w:r>
      <w:proofErr w:type="spellEnd"/>
      <w:r w:rsidRPr="00197322">
        <w:rPr>
          <w:b/>
          <w:i/>
          <w:iCs/>
          <w:color w:val="000000"/>
          <w:sz w:val="26"/>
          <w:szCs w:val="26"/>
        </w:rPr>
        <w:t xml:space="preserve"> — </w:t>
      </w:r>
      <w:proofErr w:type="spellStart"/>
      <w:r w:rsidRPr="00197322">
        <w:rPr>
          <w:b/>
          <w:i/>
          <w:iCs/>
          <w:color w:val="000000"/>
          <w:sz w:val="26"/>
          <w:szCs w:val="26"/>
        </w:rPr>
        <w:t>шепталки</w:t>
      </w:r>
      <w:proofErr w:type="spellEnd"/>
      <w:r w:rsidRPr="00197322">
        <w:rPr>
          <w:b/>
          <w:i/>
          <w:iCs/>
          <w:color w:val="000000"/>
          <w:sz w:val="26"/>
          <w:szCs w:val="26"/>
        </w:rPr>
        <w:t xml:space="preserve"> — </w:t>
      </w:r>
      <w:proofErr w:type="spellStart"/>
      <w:r w:rsidRPr="00197322">
        <w:rPr>
          <w:b/>
          <w:i/>
          <w:iCs/>
          <w:color w:val="000000"/>
          <w:sz w:val="26"/>
          <w:szCs w:val="26"/>
        </w:rPr>
        <w:t>молчалки</w:t>
      </w:r>
      <w:proofErr w:type="spellEnd"/>
      <w:r w:rsidRPr="00197322">
        <w:rPr>
          <w:b/>
          <w:i/>
          <w:iCs/>
          <w:color w:val="000000"/>
          <w:sz w:val="26"/>
          <w:szCs w:val="26"/>
        </w:rPr>
        <w:t>»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Эта игра регулирует поведение возбужденных детей, успокаивает их. Развиваются наблюдательность, умение действовать по правилу, волевая регуляция.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lastRenderedPageBreak/>
        <w:t>Содержание игры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Из разноцветного картона надо сделать три силуэта ладони: красный, желтый, синий. Это — сигналы. Когда взрослый поднимает красную ладонь — «</w:t>
      </w:r>
      <w:proofErr w:type="spellStart"/>
      <w:r w:rsidRPr="00197322">
        <w:rPr>
          <w:color w:val="000000"/>
          <w:sz w:val="26"/>
          <w:szCs w:val="26"/>
        </w:rPr>
        <w:t>кричалку</w:t>
      </w:r>
      <w:proofErr w:type="spellEnd"/>
      <w:r w:rsidRPr="00197322">
        <w:rPr>
          <w:color w:val="000000"/>
          <w:sz w:val="26"/>
          <w:szCs w:val="26"/>
        </w:rPr>
        <w:t>», можно бегать, кричать, сильно шуметь; желтую ладонь — «</w:t>
      </w:r>
      <w:proofErr w:type="spellStart"/>
      <w:r w:rsidRPr="00197322">
        <w:rPr>
          <w:color w:val="000000"/>
          <w:sz w:val="26"/>
          <w:szCs w:val="26"/>
        </w:rPr>
        <w:t>шепталку</w:t>
      </w:r>
      <w:proofErr w:type="spellEnd"/>
      <w:r w:rsidRPr="00197322">
        <w:rPr>
          <w:color w:val="000000"/>
          <w:sz w:val="26"/>
          <w:szCs w:val="26"/>
        </w:rPr>
        <w:t>», можно тихо передвигаться и шептаться; синюю ладонь — «</w:t>
      </w:r>
      <w:proofErr w:type="spellStart"/>
      <w:r w:rsidRPr="00197322">
        <w:rPr>
          <w:color w:val="000000"/>
          <w:sz w:val="26"/>
          <w:szCs w:val="26"/>
        </w:rPr>
        <w:t>молчалку</w:t>
      </w:r>
      <w:proofErr w:type="spellEnd"/>
      <w:r w:rsidRPr="00197322">
        <w:rPr>
          <w:color w:val="000000"/>
          <w:sz w:val="26"/>
          <w:szCs w:val="26"/>
        </w:rPr>
        <w:t>», дети должны замереть на месте или лечь на пол и не шевелиться. Заканчивать игру следует «</w:t>
      </w:r>
      <w:proofErr w:type="spellStart"/>
      <w:r w:rsidRPr="00197322">
        <w:rPr>
          <w:color w:val="000000"/>
          <w:sz w:val="26"/>
          <w:szCs w:val="26"/>
        </w:rPr>
        <w:t>молчалкой</w:t>
      </w:r>
      <w:proofErr w:type="spellEnd"/>
      <w:r w:rsidRPr="00197322">
        <w:rPr>
          <w:color w:val="000000"/>
          <w:sz w:val="26"/>
          <w:szCs w:val="26"/>
        </w:rPr>
        <w:t>». После того как дети в конце игры лягут на пол, можно включить спокойную музыку.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97322">
        <w:rPr>
          <w:b/>
          <w:i/>
          <w:iCs/>
          <w:color w:val="000000"/>
          <w:sz w:val="26"/>
          <w:szCs w:val="26"/>
        </w:rPr>
        <w:t>«Чужие колени или ладошки».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Цель: развитие концентрации внимания, сосредоточенности, взаимоконтроля деятельности.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Дети, сидя на стульях, образуют тесный круг. Каждый участник должен положить свои руки на колени соседей, т.е. правую руку на левое колено соседа справа, левую - на правое колено соседа слева. В результате на коленях у каждого участника оказываются руки его соседей по кругу. Разобравшись с этим условием, можно приступать к выполнению упражнения, суть которого заключается в том, чтобы руки хлопали по коленям соседей последовательно, не обгоняя друг друга. Задание не такое простое, как кажется, поскольку все руки покоятся на чужих коленях и нужно внимательно следить, когда очередь дойдет до собственной руки, а не до собственного колена. Упражнение требует постоянной сосредоточенности. Как только сосредоточенность снижается, участник ошибается. Тот, кто ошибся, убирает руку, которой была совершена ошибка.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97322">
        <w:rPr>
          <w:b/>
          <w:i/>
          <w:iCs/>
          <w:color w:val="000000"/>
          <w:sz w:val="26"/>
          <w:szCs w:val="26"/>
        </w:rPr>
        <w:t>«Встреча»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Цель. Снять мышечное напряжение, развивать умение переключать внимание.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 xml:space="preserve">Дети по сигналу ведущего начинают хаотично передвигаться по комнате и здороваться со всеми, кто встречается на их пути (возможно, кто-либо из детей захочет поздороваться именно с тем, кто обычно не обращает на него внимания). Здороваться надо определенным образом: один хлопок </w:t>
      </w:r>
      <w:proofErr w:type="gramStart"/>
      <w:r w:rsidRPr="00197322">
        <w:rPr>
          <w:color w:val="000000"/>
          <w:sz w:val="26"/>
          <w:szCs w:val="26"/>
        </w:rPr>
        <w:t>-з</w:t>
      </w:r>
      <w:proofErr w:type="gramEnd"/>
      <w:r w:rsidRPr="00197322">
        <w:rPr>
          <w:color w:val="000000"/>
          <w:sz w:val="26"/>
          <w:szCs w:val="26"/>
        </w:rPr>
        <w:t>дороваемся за руку; два - здороваемся плечами; три хлопка - здороваемся спинами.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 xml:space="preserve">Разнообразие тактильных ощущений, сопутствующих проведению этой игры, даст </w:t>
      </w:r>
      <w:proofErr w:type="spellStart"/>
      <w:r w:rsidRPr="00197322">
        <w:rPr>
          <w:color w:val="000000"/>
          <w:sz w:val="26"/>
          <w:szCs w:val="26"/>
        </w:rPr>
        <w:t>гиперактивному</w:t>
      </w:r>
      <w:proofErr w:type="spellEnd"/>
      <w:r w:rsidRPr="00197322">
        <w:rPr>
          <w:color w:val="000000"/>
          <w:sz w:val="26"/>
          <w:szCs w:val="26"/>
        </w:rPr>
        <w:t xml:space="preserve"> ребенку возможность почувствовать свое тело, снять мышечное напряжение. Смена партнеров по игре помогает избавиться от ощущения отчужденности. Для полноты тактильных ощущений желательно ввести запрет на разговоры во время этой игры.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b/>
          <w:i/>
          <w:iCs/>
          <w:color w:val="000000"/>
          <w:sz w:val="26"/>
          <w:szCs w:val="26"/>
        </w:rPr>
        <w:t>«Запомни и повтори</w:t>
      </w:r>
      <w:r w:rsidRPr="00197322">
        <w:rPr>
          <w:i/>
          <w:iCs/>
          <w:color w:val="000000"/>
          <w:sz w:val="26"/>
          <w:szCs w:val="26"/>
        </w:rPr>
        <w:t>».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Цель: развитие внимания, визуальной памяти.</w:t>
      </w:r>
    </w:p>
    <w:p w:rsid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На полу в произвольном порядке разложены различные предметы. Взрослый на несколько минут раздаёт детям карточки с изображением двух-трех предметов</w:t>
      </w:r>
    </w:p>
    <w:p w:rsidR="00394536" w:rsidRPr="00197322" w:rsidRDefault="00197322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</w:t>
      </w:r>
      <w:r w:rsidR="00394536" w:rsidRPr="00197322">
        <w:rPr>
          <w:color w:val="000000"/>
          <w:sz w:val="26"/>
          <w:szCs w:val="26"/>
        </w:rPr>
        <w:t>кубик, мяч, кольцо), затем собирает их. Звучит сигнал: дети произвольно двигаются по комнате, затем, продолжая двигаться, выполняют задания: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sym w:font="Symbol" w:char="F096"/>
      </w:r>
      <w:r w:rsidRPr="00197322">
        <w:rPr>
          <w:color w:val="000000"/>
          <w:sz w:val="26"/>
          <w:szCs w:val="26"/>
        </w:rPr>
        <w:t> собери предметы, которые ты видел на карточке.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sym w:font="Symbol" w:char="F096"/>
      </w:r>
      <w:r w:rsidRPr="00197322">
        <w:rPr>
          <w:color w:val="000000"/>
          <w:sz w:val="26"/>
          <w:szCs w:val="26"/>
        </w:rPr>
        <w:t> собери предметы в том порядке, в котором они были изображены на карточке.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97322">
        <w:rPr>
          <w:b/>
          <w:i/>
          <w:iCs/>
          <w:color w:val="000000"/>
          <w:sz w:val="26"/>
          <w:szCs w:val="26"/>
        </w:rPr>
        <w:t>«Развивающие кубики».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Цель: развитие внимания, памяти, комбинаторные способности, логическое мышление, пространственное представление и воображение.</w:t>
      </w:r>
    </w:p>
    <w:p w:rsidR="00394536" w:rsidRPr="00197322" w:rsidRDefault="00394536" w:rsidP="0019732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7322">
        <w:rPr>
          <w:color w:val="000000"/>
          <w:sz w:val="26"/>
          <w:szCs w:val="26"/>
        </w:rPr>
        <w:t>Предлагается детям собрать из кубиков различные фигуры, постройки. Взрослый может использовать подсказку в виде крупной картинки, несли задание не трудное, то может показать только на своем примере.</w:t>
      </w:r>
    </w:p>
    <w:p w:rsidR="00C66404" w:rsidRPr="00197322" w:rsidRDefault="00394536" w:rsidP="001973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97322">
        <w:rPr>
          <w:rFonts w:ascii="Times New Roman" w:hAnsi="Times New Roman" w:cs="Times New Roman"/>
          <w:color w:val="000000"/>
          <w:sz w:val="26"/>
          <w:szCs w:val="26"/>
        </w:rPr>
        <w:lastRenderedPageBreak/>
        <w:t>Это малоподвижные игры, направлены на развитие произвольности психических процессов, в тоже время в этих играх решается задача взаимоконтроля деятельности.</w:t>
      </w:r>
    </w:p>
    <w:p w:rsidR="009632B5" w:rsidRPr="00197322" w:rsidRDefault="009632B5" w:rsidP="001973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3638E" w:rsidRPr="00197322" w:rsidRDefault="0053638E" w:rsidP="0019732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3638E" w:rsidRPr="0019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41"/>
    <w:rsid w:val="00197322"/>
    <w:rsid w:val="00394536"/>
    <w:rsid w:val="0053638E"/>
    <w:rsid w:val="0054134D"/>
    <w:rsid w:val="00780B41"/>
    <w:rsid w:val="009632B5"/>
    <w:rsid w:val="00C66404"/>
    <w:rsid w:val="00D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12345</cp:lastModifiedBy>
  <cp:revision>2</cp:revision>
  <dcterms:created xsi:type="dcterms:W3CDTF">2022-10-10T05:25:00Z</dcterms:created>
  <dcterms:modified xsi:type="dcterms:W3CDTF">2022-10-10T05:25:00Z</dcterms:modified>
</cp:coreProperties>
</file>